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AC" w:rsidRPr="00207C02" w:rsidRDefault="004C5DAC" w:rsidP="004C5DAC">
      <w:pPr>
        <w:pStyle w:val="EndnoteText"/>
        <w:jc w:val="center"/>
        <w:rPr>
          <w:rFonts w:ascii="Palatino Linotype" w:hAnsi="Palatino Linotype"/>
          <w:b/>
          <w:sz w:val="22"/>
          <w:szCs w:val="22"/>
          <w:u w:val="single"/>
        </w:rPr>
      </w:pPr>
      <w:r w:rsidRPr="00207C02">
        <w:rPr>
          <w:rFonts w:ascii="Palatino Linotype" w:hAnsi="Palatino Linotype"/>
          <w:b/>
          <w:sz w:val="22"/>
          <w:szCs w:val="22"/>
          <w:u w:val="single"/>
        </w:rPr>
        <w:t>Update on first case and possible future cases</w:t>
      </w:r>
    </w:p>
    <w:p w:rsidR="00B0572D" w:rsidRPr="00207C02" w:rsidRDefault="00B0572D" w:rsidP="004C5DAC">
      <w:pPr>
        <w:spacing w:after="0"/>
        <w:ind w:left="720"/>
        <w:contextualSpacing/>
        <w:jc w:val="center"/>
        <w:rPr>
          <w:rFonts w:ascii="Palatino Linotype" w:eastAsia="Times New Roman" w:hAnsi="Palatino Linotype" w:cs="Times New Roman"/>
          <w:b/>
          <w:u w:val="single"/>
        </w:rPr>
      </w:pPr>
    </w:p>
    <w:p w:rsidR="00E70FAB" w:rsidRPr="00207C02" w:rsidRDefault="00890591" w:rsidP="007C65B3">
      <w:pPr>
        <w:spacing w:after="0"/>
        <w:jc w:val="both"/>
        <w:rPr>
          <w:rFonts w:ascii="Palatino Linotype" w:hAnsi="Palatino Linotype" w:cs="Times New Roman"/>
        </w:rPr>
      </w:pPr>
      <w:r w:rsidRPr="00207C02">
        <w:rPr>
          <w:rFonts w:ascii="Palatino Linotype" w:hAnsi="Palatino Linotype" w:cs="Times New Roman"/>
        </w:rPr>
        <w:t xml:space="preserve">We really had no option but to withdraw from our first case (due to </w:t>
      </w:r>
      <w:r w:rsidR="007C65B3" w:rsidRPr="00207C02">
        <w:rPr>
          <w:rFonts w:ascii="Palatino Linotype" w:hAnsi="Palatino Linotype" w:cs="Times New Roman"/>
        </w:rPr>
        <w:t xml:space="preserve">possibility of </w:t>
      </w:r>
      <w:r w:rsidRPr="00207C02">
        <w:rPr>
          <w:rFonts w:ascii="Palatino Linotype" w:hAnsi="Palatino Linotype" w:cs="Times New Roman"/>
        </w:rPr>
        <w:t xml:space="preserve">being liable to thousands </w:t>
      </w:r>
      <w:r w:rsidR="00E70FAB" w:rsidRPr="00207C02">
        <w:rPr>
          <w:rFonts w:ascii="Palatino Linotype" w:hAnsi="Palatino Linotype" w:cs="Times New Roman"/>
        </w:rPr>
        <w:t>of pounds (</w:t>
      </w:r>
      <w:r w:rsidRPr="00207C02">
        <w:rPr>
          <w:rFonts w:ascii="Palatino Linotype" w:hAnsi="Palatino Linotype" w:cs="Times New Roman"/>
        </w:rPr>
        <w:t>as the Scottish Government</w:t>
      </w:r>
      <w:r w:rsidR="00E70FAB" w:rsidRPr="00207C02">
        <w:rPr>
          <w:rFonts w:ascii="Palatino Linotype" w:hAnsi="Palatino Linotype" w:cs="Times New Roman"/>
        </w:rPr>
        <w:t xml:space="preserve"> introduced 2 technicalities which meant we could not guarantee a PEO</w:t>
      </w:r>
      <w:r w:rsidRPr="00207C02">
        <w:rPr>
          <w:rFonts w:ascii="Palatino Linotype" w:hAnsi="Palatino Linotype" w:cs="Times New Roman"/>
        </w:rPr>
        <w:t xml:space="preserve">). A complaint </w:t>
      </w:r>
      <w:r w:rsidR="007C65B3" w:rsidRPr="00207C02">
        <w:rPr>
          <w:rFonts w:ascii="Palatino Linotype" w:hAnsi="Palatino Linotype" w:cs="Times New Roman"/>
        </w:rPr>
        <w:t xml:space="preserve">has been sent </w:t>
      </w:r>
      <w:r w:rsidRPr="00207C02">
        <w:rPr>
          <w:rFonts w:ascii="Palatino Linotype" w:hAnsi="Palatino Linotype" w:cs="Times New Roman"/>
        </w:rPr>
        <w:t xml:space="preserve">to the European Commission </w:t>
      </w:r>
      <w:r w:rsidR="000F64C2">
        <w:rPr>
          <w:rFonts w:ascii="Palatino Linotype" w:hAnsi="Palatino Linotype" w:cs="Times New Roman"/>
        </w:rPr>
        <w:t xml:space="preserve">by a third party </w:t>
      </w:r>
      <w:r w:rsidRPr="00207C02">
        <w:rPr>
          <w:rFonts w:ascii="Palatino Linotype" w:hAnsi="Palatino Linotype" w:cs="Times New Roman"/>
        </w:rPr>
        <w:t xml:space="preserve">regarding </w:t>
      </w:r>
    </w:p>
    <w:p w:rsidR="00E70FAB" w:rsidRPr="00207C02" w:rsidRDefault="00890591" w:rsidP="007C65B3">
      <w:pPr>
        <w:pStyle w:val="ListParagraph"/>
        <w:numPr>
          <w:ilvl w:val="0"/>
          <w:numId w:val="1"/>
        </w:numPr>
        <w:spacing w:after="0"/>
        <w:jc w:val="both"/>
        <w:rPr>
          <w:rFonts w:ascii="Palatino Linotype" w:hAnsi="Palatino Linotype" w:cs="Times New Roman"/>
        </w:rPr>
      </w:pPr>
      <w:r w:rsidRPr="00207C02">
        <w:rPr>
          <w:rFonts w:ascii="Palatino Linotype" w:hAnsi="Palatino Linotype" w:cs="Times New Roman"/>
        </w:rPr>
        <w:t xml:space="preserve">Scotland's failure to have transposed art 3 of the EIA Directive (requiring an assessment to be carried out) </w:t>
      </w:r>
    </w:p>
    <w:p w:rsidR="00E70FAB" w:rsidRPr="00207C02" w:rsidRDefault="00890591" w:rsidP="007C65B3">
      <w:pPr>
        <w:pStyle w:val="ListParagraph"/>
        <w:numPr>
          <w:ilvl w:val="0"/>
          <w:numId w:val="1"/>
        </w:numPr>
        <w:spacing w:after="0"/>
        <w:jc w:val="both"/>
        <w:rPr>
          <w:rFonts w:ascii="Palatino Linotype" w:hAnsi="Palatino Linotype" w:cs="Times New Roman"/>
        </w:rPr>
      </w:pPr>
      <w:r w:rsidRPr="00207C02">
        <w:rPr>
          <w:rFonts w:ascii="Palatino Linotype" w:hAnsi="Palatino Linotype" w:cs="Times New Roman"/>
        </w:rPr>
        <w:t xml:space="preserve"> </w:t>
      </w:r>
      <w:proofErr w:type="gramStart"/>
      <w:r w:rsidRPr="00207C02">
        <w:rPr>
          <w:rFonts w:ascii="Palatino Linotype" w:hAnsi="Palatino Linotype" w:cs="Times New Roman"/>
        </w:rPr>
        <w:t>the</w:t>
      </w:r>
      <w:proofErr w:type="gramEnd"/>
      <w:r w:rsidRPr="00207C02">
        <w:rPr>
          <w:rFonts w:ascii="Palatino Linotype" w:hAnsi="Palatino Linotype" w:cs="Times New Roman"/>
        </w:rPr>
        <w:t xml:space="preserve"> fact that planning legislation imposes an extra barrier to challenges to planning appeals by requiring you to have participated as an objector in the application process.</w:t>
      </w:r>
      <w:r w:rsidR="007C65B3" w:rsidRPr="00207C02">
        <w:rPr>
          <w:rFonts w:ascii="Palatino Linotype" w:hAnsi="Palatino Linotype" w:cs="Times New Roman"/>
        </w:rPr>
        <w:t xml:space="preserve"> </w:t>
      </w:r>
    </w:p>
    <w:p w:rsidR="007C65B3" w:rsidRPr="00207C02" w:rsidRDefault="007C65B3" w:rsidP="007C65B3">
      <w:pPr>
        <w:spacing w:after="0"/>
        <w:jc w:val="both"/>
        <w:rPr>
          <w:rFonts w:ascii="Palatino Linotype" w:hAnsi="Palatino Linotype" w:cs="Times New Roman"/>
        </w:rPr>
      </w:pPr>
      <w:r w:rsidRPr="00207C02">
        <w:rPr>
          <w:rFonts w:ascii="Palatino Linotype" w:hAnsi="Palatino Linotype" w:cs="Times New Roman"/>
        </w:rPr>
        <w:t xml:space="preserve">But as </w:t>
      </w:r>
      <w:proofErr w:type="spellStart"/>
      <w:r w:rsidRPr="00207C02">
        <w:rPr>
          <w:rFonts w:ascii="Palatino Linotype" w:hAnsi="Palatino Linotype" w:cs="Times New Roman"/>
        </w:rPr>
        <w:t>Brakeland</w:t>
      </w:r>
      <w:proofErr w:type="spellEnd"/>
      <w:r w:rsidRPr="00207C02">
        <w:rPr>
          <w:rFonts w:ascii="Palatino Linotype" w:hAnsi="Palatino Linotype" w:cs="Times New Roman"/>
        </w:rPr>
        <w:t xml:space="preserve"> whom we saw in action in Geneva when he</w:t>
      </w:r>
      <w:r w:rsidR="00E70FAB" w:rsidRPr="00207C02">
        <w:rPr>
          <w:rFonts w:ascii="Palatino Linotype" w:hAnsi="Palatino Linotype" w:cs="Times New Roman"/>
        </w:rPr>
        <w:t>,</w:t>
      </w:r>
      <w:r w:rsidRPr="00207C02">
        <w:rPr>
          <w:rFonts w:ascii="Palatino Linotype" w:hAnsi="Palatino Linotype" w:cs="Times New Roman"/>
        </w:rPr>
        <w:t xml:space="preserve"> Head of Legal Enforcement at the Directorate General (DG) Environment of the EU Commission, being questioned on giving information about carbon emissions made unacceptable comments when he said, “if we were to take instead of a 110 m high wind turbine a 110 m high metal statute, you would not be expected to do a detailed carbon assessment on that, so why do you expect a detailed carbon assessment for the wind turbine?" </w:t>
      </w:r>
    </w:p>
    <w:p w:rsidR="007C65B3" w:rsidRPr="00207C02" w:rsidRDefault="00E70FAB" w:rsidP="007C65B3">
      <w:pPr>
        <w:spacing w:after="0"/>
        <w:jc w:val="both"/>
        <w:rPr>
          <w:rFonts w:ascii="Palatino Linotype" w:hAnsi="Palatino Linotype" w:cs="Times New Roman"/>
        </w:rPr>
      </w:pPr>
      <w:r w:rsidRPr="00207C02">
        <w:rPr>
          <w:rFonts w:ascii="Palatino Linotype" w:hAnsi="Palatino Linotype" w:cs="Times New Roman"/>
        </w:rPr>
        <w:t xml:space="preserve">His </w:t>
      </w:r>
      <w:r w:rsidR="007C65B3" w:rsidRPr="00207C02">
        <w:rPr>
          <w:rFonts w:ascii="Palatino Linotype" w:hAnsi="Palatino Linotype" w:cs="Times New Roman"/>
        </w:rPr>
        <w:t xml:space="preserve">department </w:t>
      </w:r>
      <w:r w:rsidRPr="00207C02">
        <w:rPr>
          <w:rFonts w:ascii="Palatino Linotype" w:hAnsi="Palatino Linotype" w:cs="Times New Roman"/>
        </w:rPr>
        <w:t>processes these complaints and i</w:t>
      </w:r>
      <w:r w:rsidR="007C65B3" w:rsidRPr="00207C02">
        <w:rPr>
          <w:rFonts w:ascii="Palatino Linotype" w:hAnsi="Palatino Linotype" w:cs="Times New Roman"/>
        </w:rPr>
        <w:t xml:space="preserve">n European Law they have 'absolute discretion on what they enforce' and they insist on it, even though it is in breach of Article 3(1) of the Convention with respect to proper enforcement measures. The fact that Pat Swords had a complaints process with the EU and they refused to do anything about it for a number of years was a contributing reason why the Compliance Committee opened the case </w:t>
      </w:r>
      <w:r w:rsidR="004C5DAC" w:rsidRPr="00207C02">
        <w:rPr>
          <w:rFonts w:ascii="Palatino Linotype" w:hAnsi="Palatino Linotype" w:cs="Times New Roman"/>
        </w:rPr>
        <w:t>against the EU, which led to a</w:t>
      </w:r>
      <w:r w:rsidR="007C65B3" w:rsidRPr="00207C02">
        <w:rPr>
          <w:rFonts w:ascii="Palatino Linotype" w:hAnsi="Palatino Linotype" w:cs="Times New Roman"/>
        </w:rPr>
        <w:t xml:space="preserve"> 'showdown' in Geneva. They are still absolutely refusing to put in proper enforcement measures. In other words we could be wasting our time in even considering that </w:t>
      </w:r>
      <w:r w:rsidR="004C5DAC" w:rsidRPr="00207C02">
        <w:rPr>
          <w:rFonts w:ascii="Palatino Linotype" w:hAnsi="Palatino Linotype" w:cs="Times New Roman"/>
        </w:rPr>
        <w:t xml:space="preserve">this </w:t>
      </w:r>
      <w:r w:rsidR="007C65B3" w:rsidRPr="00207C02">
        <w:rPr>
          <w:rFonts w:ascii="Palatino Linotype" w:hAnsi="Palatino Linotype" w:cs="Times New Roman"/>
        </w:rPr>
        <w:t>Unit 2A in D</w:t>
      </w:r>
      <w:r w:rsidR="004C5DAC" w:rsidRPr="00207C02">
        <w:rPr>
          <w:rFonts w:ascii="Palatino Linotype" w:hAnsi="Palatino Linotype" w:cs="Times New Roman"/>
        </w:rPr>
        <w:t>G Environment will do anything.</w:t>
      </w:r>
    </w:p>
    <w:p w:rsidR="007C65B3" w:rsidRPr="00207C02" w:rsidRDefault="007C65B3" w:rsidP="007C65B3">
      <w:pPr>
        <w:spacing w:after="0"/>
        <w:jc w:val="both"/>
        <w:rPr>
          <w:rFonts w:ascii="Palatino Linotype" w:hAnsi="Palatino Linotype" w:cs="Times New Roman"/>
        </w:rPr>
      </w:pPr>
    </w:p>
    <w:p w:rsidR="00EA69C7" w:rsidRPr="00207C02" w:rsidRDefault="00861135" w:rsidP="007C65B3">
      <w:pPr>
        <w:spacing w:after="0"/>
        <w:jc w:val="both"/>
        <w:rPr>
          <w:rFonts w:ascii="Palatino Linotype" w:hAnsi="Palatino Linotype" w:cs="Times New Roman"/>
        </w:rPr>
      </w:pPr>
      <w:r>
        <w:rPr>
          <w:rFonts w:ascii="Palatino Linotype" w:eastAsia="Times New Roman" w:hAnsi="Palatino Linotype" w:cs="Times New Roman"/>
        </w:rPr>
        <w:t>A</w:t>
      </w:r>
      <w:r w:rsidR="004C5DAC" w:rsidRPr="00207C02">
        <w:rPr>
          <w:rFonts w:ascii="Palatino Linotype" w:eastAsia="Times New Roman" w:hAnsi="Palatino Linotype" w:cs="Times New Roman"/>
        </w:rPr>
        <w:t xml:space="preserve"> number of simultaneous </w:t>
      </w:r>
      <w:r>
        <w:rPr>
          <w:rFonts w:ascii="Palatino Linotype" w:eastAsia="Times New Roman" w:hAnsi="Palatino Linotype" w:cs="Times New Roman"/>
        </w:rPr>
        <w:t>test cases</w:t>
      </w:r>
      <w:r w:rsidR="004C5DAC" w:rsidRPr="00207C02">
        <w:rPr>
          <w:rFonts w:ascii="Palatino Linotype" w:eastAsia="Times New Roman" w:hAnsi="Palatino Linotype" w:cs="Times New Roman"/>
        </w:rPr>
        <w:t xml:space="preserve"> need</w:t>
      </w:r>
      <w:r w:rsidR="00B0572D" w:rsidRPr="00207C02">
        <w:rPr>
          <w:rFonts w:ascii="Palatino Linotype" w:eastAsia="Times New Roman" w:hAnsi="Palatino Linotype" w:cs="Times New Roman"/>
        </w:rPr>
        <w:t xml:space="preserve"> to be heard in a court of law as to whether the whole wind industry is </w:t>
      </w:r>
      <w:proofErr w:type="gramStart"/>
      <w:r w:rsidR="00B0572D" w:rsidRPr="00207C02">
        <w:rPr>
          <w:rFonts w:ascii="Palatino Linotype" w:eastAsia="Times New Roman" w:hAnsi="Palatino Linotype" w:cs="Times New Roman"/>
        </w:rPr>
        <w:t xml:space="preserve">unlawful </w:t>
      </w:r>
      <w:r w:rsidR="00B0572D" w:rsidRPr="00207C02">
        <w:rPr>
          <w:rFonts w:ascii="Palatino Linotype" w:hAnsi="Palatino Linotype" w:cs="Times New Roman"/>
          <w:bCs/>
          <w:iCs/>
        </w:rPr>
        <w:t xml:space="preserve"> in</w:t>
      </w:r>
      <w:proofErr w:type="gramEnd"/>
      <w:r w:rsidR="00B0572D" w:rsidRPr="00207C02">
        <w:rPr>
          <w:rFonts w:ascii="Palatino Linotype" w:hAnsi="Palatino Linotype" w:cs="Times New Roman"/>
          <w:bCs/>
          <w:iCs/>
        </w:rPr>
        <w:t xml:space="preserve"> relying on planning policies which were themselves unlawful in that they breach the requirements of the </w:t>
      </w:r>
      <w:proofErr w:type="spellStart"/>
      <w:r w:rsidR="00B0572D" w:rsidRPr="00207C02">
        <w:rPr>
          <w:rFonts w:ascii="Palatino Linotype" w:hAnsi="Palatino Linotype" w:cs="Times New Roman"/>
          <w:bCs/>
          <w:iCs/>
        </w:rPr>
        <w:t>Åarhus</w:t>
      </w:r>
      <w:proofErr w:type="spellEnd"/>
      <w:r w:rsidR="00B0572D" w:rsidRPr="00207C02">
        <w:rPr>
          <w:rFonts w:ascii="Palatino Linotype" w:hAnsi="Palatino Linotype" w:cs="Times New Roman"/>
          <w:bCs/>
          <w:iCs/>
        </w:rPr>
        <w:t xml:space="preserve"> Convention</w:t>
      </w:r>
      <w:r w:rsidR="00B0572D" w:rsidRPr="00207C02">
        <w:rPr>
          <w:rFonts w:ascii="Palatino Linotype" w:hAnsi="Palatino Linotype" w:cs="Times New Roman"/>
        </w:rPr>
        <w:t>.</w:t>
      </w:r>
      <w:r w:rsidR="00E70FAB" w:rsidRPr="00207C02">
        <w:rPr>
          <w:rFonts w:ascii="Palatino Linotype" w:hAnsi="Palatino Linotype" w:cs="Times New Roman"/>
        </w:rPr>
        <w:t xml:space="preserve"> </w:t>
      </w:r>
    </w:p>
    <w:p w:rsidR="00EA69C7" w:rsidRPr="00207C02" w:rsidRDefault="004F150F" w:rsidP="007C65B3">
      <w:pPr>
        <w:spacing w:after="0"/>
        <w:jc w:val="both"/>
        <w:rPr>
          <w:rFonts w:ascii="Palatino Linotype" w:hAnsi="Palatino Linotype" w:cs="Times New Roman"/>
        </w:rPr>
      </w:pPr>
      <w:hyperlink r:id="rId9" w:history="1">
        <w:r w:rsidR="00EA69C7" w:rsidRPr="00207C02">
          <w:rPr>
            <w:rStyle w:val="Hyperlink"/>
            <w:rFonts w:ascii="Palatino Linotype" w:hAnsi="Palatino Linotype" w:cs="Times New Roman"/>
          </w:rPr>
          <w:t>http://windsofjustice.org.uk/wp-content/uploads/2014/08/P-SWORDS-SLIDE-DECK-Aarhus-Convention-Wind-Energy-etc-Boston-Nov-2013.pdf</w:t>
        </w:r>
      </w:hyperlink>
      <w:r w:rsidR="00EA69C7" w:rsidRPr="00207C02">
        <w:rPr>
          <w:rFonts w:ascii="Palatino Linotype" w:hAnsi="Palatino Linotype" w:cs="Times New Roman"/>
        </w:rPr>
        <w:t xml:space="preserve"> </w:t>
      </w:r>
    </w:p>
    <w:p w:rsidR="00890591" w:rsidRPr="00207C02" w:rsidRDefault="00EA69C7" w:rsidP="007C65B3">
      <w:pPr>
        <w:spacing w:after="0"/>
        <w:jc w:val="both"/>
        <w:rPr>
          <w:rFonts w:ascii="Palatino Linotype" w:hAnsi="Palatino Linotype" w:cs="Times New Roman"/>
        </w:rPr>
      </w:pPr>
      <w:r w:rsidRPr="00207C02">
        <w:rPr>
          <w:rFonts w:ascii="Palatino Linotype" w:hAnsi="Palatino Linotype" w:cs="Times New Roman"/>
          <w:b/>
        </w:rPr>
        <w:t>The petition</w:t>
      </w:r>
      <w:r w:rsidRPr="00207C02">
        <w:rPr>
          <w:rFonts w:ascii="Palatino Linotype" w:hAnsi="Palatino Linotype" w:cs="Times New Roman"/>
        </w:rPr>
        <w:t xml:space="preserve"> </w:t>
      </w:r>
      <w:r w:rsidR="00B0572D" w:rsidRPr="00207C02">
        <w:rPr>
          <w:rFonts w:ascii="Palatino Linotype" w:hAnsi="Palatino Linotype" w:cs="Times New Roman"/>
        </w:rPr>
        <w:t>intended for use in the first case is still</w:t>
      </w:r>
      <w:r w:rsidR="007C7B1E">
        <w:rPr>
          <w:rFonts w:ascii="Palatino Linotype" w:hAnsi="Palatino Linotype" w:cs="Times New Roman"/>
        </w:rPr>
        <w:t xml:space="preserve"> very valid and can be used in</w:t>
      </w:r>
      <w:r w:rsidR="00B0572D" w:rsidRPr="00207C02">
        <w:rPr>
          <w:rFonts w:ascii="Palatino Linotype" w:hAnsi="Palatino Linotype" w:cs="Times New Roman"/>
        </w:rPr>
        <w:t xml:space="preserve"> new high profile case</w:t>
      </w:r>
      <w:r w:rsidR="007C7B1E">
        <w:rPr>
          <w:rFonts w:ascii="Palatino Linotype" w:hAnsi="Palatino Linotype" w:cs="Times New Roman"/>
        </w:rPr>
        <w:t>s</w:t>
      </w:r>
      <w:r w:rsidR="00B0572D" w:rsidRPr="00207C02">
        <w:rPr>
          <w:rFonts w:ascii="Palatino Linotype" w:hAnsi="Palatino Linotype" w:cs="Times New Roman"/>
        </w:rPr>
        <w:t xml:space="preserve">. </w:t>
      </w:r>
    </w:p>
    <w:p w:rsidR="00EA69C7" w:rsidRPr="00207C02" w:rsidRDefault="00EA69C7" w:rsidP="00EA69C7">
      <w:pPr>
        <w:tabs>
          <w:tab w:val="left" w:pos="360"/>
        </w:tabs>
        <w:autoSpaceDE w:val="0"/>
        <w:autoSpaceDN w:val="0"/>
        <w:adjustRightInd w:val="0"/>
        <w:spacing w:line="360" w:lineRule="auto"/>
        <w:ind w:left="360"/>
        <w:jc w:val="both"/>
        <w:rPr>
          <w:rFonts w:ascii="Palatino Linotype" w:hAnsi="Palatino Linotype" w:cs="Arial"/>
          <w:b/>
          <w:bCs/>
          <w:u w:val="single"/>
        </w:rPr>
      </w:pPr>
      <w:r w:rsidRPr="00207C02">
        <w:rPr>
          <w:rFonts w:ascii="Palatino Linotype" w:hAnsi="Palatino Linotype" w:cs="Arial"/>
          <w:b/>
          <w:bCs/>
          <w:u w:val="single"/>
        </w:rPr>
        <w:t>Ground 1</w:t>
      </w:r>
      <w:r w:rsidRPr="00207C02">
        <w:rPr>
          <w:rFonts w:ascii="Palatino Linotype" w:hAnsi="Palatino Linotype" w:cs="Arial"/>
          <w:b/>
          <w:bCs/>
        </w:rPr>
        <w:t xml:space="preserve">: </w:t>
      </w:r>
      <w:r w:rsidRPr="00207C02">
        <w:rPr>
          <w:rFonts w:ascii="Palatino Linotype" w:hAnsi="Palatino Linotype" w:cs="Arial"/>
          <w:b/>
          <w:bCs/>
          <w:i/>
          <w:iCs/>
        </w:rPr>
        <w:t>That the Respondent has failed to fulfil its obligations under the EIA Directive (Directive 2011/92/EU) by failing to transpose Article 3 thereof</w:t>
      </w:r>
    </w:p>
    <w:p w:rsidR="00EA69C7" w:rsidRPr="00207C02" w:rsidRDefault="00EA69C7" w:rsidP="00EA69C7">
      <w:pPr>
        <w:tabs>
          <w:tab w:val="left" w:pos="360"/>
        </w:tabs>
        <w:autoSpaceDE w:val="0"/>
        <w:autoSpaceDN w:val="0"/>
        <w:adjustRightInd w:val="0"/>
        <w:spacing w:line="360" w:lineRule="auto"/>
        <w:ind w:left="360"/>
        <w:jc w:val="both"/>
        <w:rPr>
          <w:rFonts w:ascii="Palatino Linotype" w:hAnsi="Palatino Linotype" w:cs="Arial"/>
          <w:b/>
          <w:bCs/>
        </w:rPr>
      </w:pPr>
      <w:r w:rsidRPr="00207C02">
        <w:rPr>
          <w:rFonts w:ascii="Palatino Linotype" w:hAnsi="Palatino Linotype" w:cs="Arial"/>
          <w:b/>
          <w:bCs/>
          <w:u w:val="single"/>
        </w:rPr>
        <w:t>Ground 2</w:t>
      </w:r>
      <w:r w:rsidRPr="00207C02">
        <w:rPr>
          <w:rFonts w:ascii="Palatino Linotype" w:hAnsi="Palatino Linotype" w:cs="Arial"/>
          <w:b/>
          <w:bCs/>
        </w:rPr>
        <w:t xml:space="preserve">: </w:t>
      </w:r>
      <w:r w:rsidRPr="00207C02">
        <w:rPr>
          <w:rFonts w:ascii="Palatino Linotype" w:hAnsi="Palatino Linotype" w:cs="Arial"/>
          <w:b/>
          <w:bCs/>
          <w:i/>
          <w:iCs/>
        </w:rPr>
        <w:t>That the EIA Regulations are outside devolved competence and beyond the powers of the Scottish Ministers because they are (as a result of the transposition failure described within Ground 1 above) incompatible with EU law</w:t>
      </w:r>
    </w:p>
    <w:p w:rsidR="00EA69C7" w:rsidRPr="00207C02" w:rsidRDefault="00EA69C7" w:rsidP="00EA69C7">
      <w:pPr>
        <w:tabs>
          <w:tab w:val="left" w:pos="360"/>
        </w:tabs>
        <w:autoSpaceDE w:val="0"/>
        <w:autoSpaceDN w:val="0"/>
        <w:adjustRightInd w:val="0"/>
        <w:spacing w:line="360" w:lineRule="auto"/>
        <w:ind w:left="360"/>
        <w:jc w:val="both"/>
        <w:rPr>
          <w:rFonts w:ascii="Palatino Linotype" w:hAnsi="Palatino Linotype" w:cs="Arial"/>
          <w:b/>
          <w:bCs/>
          <w:i/>
          <w:iCs/>
        </w:rPr>
      </w:pPr>
      <w:proofErr w:type="gramStart"/>
      <w:r w:rsidRPr="00207C02">
        <w:rPr>
          <w:rFonts w:ascii="Palatino Linotype" w:hAnsi="Palatino Linotype" w:cs="Arial"/>
          <w:b/>
          <w:bCs/>
          <w:u w:val="single"/>
        </w:rPr>
        <w:lastRenderedPageBreak/>
        <w:t>Ground 3</w:t>
      </w:r>
      <w:r w:rsidRPr="00207C02">
        <w:rPr>
          <w:rFonts w:ascii="Palatino Linotype" w:hAnsi="Palatino Linotype" w:cs="Arial"/>
          <w:b/>
          <w:bCs/>
        </w:rPr>
        <w:t xml:space="preserve">: </w:t>
      </w:r>
      <w:r w:rsidRPr="00207C02">
        <w:rPr>
          <w:rFonts w:ascii="Palatino Linotype" w:hAnsi="Palatino Linotype" w:cs="Arial"/>
          <w:b/>
          <w:bCs/>
          <w:i/>
          <w:iCs/>
        </w:rPr>
        <w:t>That the Respondent has failed demonstrably to carry out an environmental impact assessment as required by Article 3 of the EIA Directive.</w:t>
      </w:r>
      <w:proofErr w:type="gramEnd"/>
    </w:p>
    <w:p w:rsidR="00EA69C7" w:rsidRPr="00207C02" w:rsidRDefault="00EA69C7" w:rsidP="00EA69C7">
      <w:pPr>
        <w:tabs>
          <w:tab w:val="left" w:pos="360"/>
        </w:tabs>
        <w:autoSpaceDE w:val="0"/>
        <w:autoSpaceDN w:val="0"/>
        <w:adjustRightInd w:val="0"/>
        <w:spacing w:line="360" w:lineRule="auto"/>
        <w:ind w:left="360"/>
        <w:jc w:val="both"/>
        <w:rPr>
          <w:rFonts w:ascii="Palatino Linotype" w:hAnsi="Palatino Linotype" w:cs="Arial"/>
          <w:b/>
          <w:bCs/>
          <w:i/>
          <w:iCs/>
        </w:rPr>
      </w:pPr>
      <w:r w:rsidRPr="00207C02">
        <w:rPr>
          <w:rFonts w:ascii="Palatino Linotype" w:hAnsi="Palatino Linotype" w:cs="Arial"/>
          <w:b/>
          <w:bCs/>
          <w:u w:val="single"/>
        </w:rPr>
        <w:t>Ground 4</w:t>
      </w:r>
      <w:r w:rsidRPr="00207C02">
        <w:rPr>
          <w:rFonts w:ascii="Palatino Linotype" w:hAnsi="Palatino Linotype" w:cs="Arial"/>
          <w:b/>
          <w:bCs/>
        </w:rPr>
        <w:t xml:space="preserve">: </w:t>
      </w:r>
      <w:r w:rsidRPr="00207C02">
        <w:rPr>
          <w:rFonts w:ascii="Palatino Linotype" w:hAnsi="Palatino Linotype" w:cs="Arial"/>
          <w:b/>
          <w:bCs/>
          <w:i/>
          <w:iCs/>
        </w:rPr>
        <w:t>That the Respondent failed to give adequate reasons for the conclusions reached on environmental impact.</w:t>
      </w:r>
    </w:p>
    <w:p w:rsidR="00EA69C7" w:rsidRPr="00207C02" w:rsidRDefault="00EA69C7" w:rsidP="00EA69C7">
      <w:pPr>
        <w:tabs>
          <w:tab w:val="left" w:pos="360"/>
        </w:tabs>
        <w:autoSpaceDE w:val="0"/>
        <w:autoSpaceDN w:val="0"/>
        <w:adjustRightInd w:val="0"/>
        <w:spacing w:line="360" w:lineRule="auto"/>
        <w:ind w:left="360"/>
        <w:jc w:val="both"/>
        <w:rPr>
          <w:rFonts w:ascii="Palatino Linotype" w:hAnsi="Palatino Linotype" w:cs="Arial"/>
          <w:b/>
          <w:bCs/>
          <w:i/>
          <w:iCs/>
        </w:rPr>
      </w:pPr>
      <w:r w:rsidRPr="00207C02">
        <w:rPr>
          <w:rFonts w:ascii="Palatino Linotype" w:hAnsi="Palatino Linotype" w:cs="Arial"/>
          <w:b/>
          <w:bCs/>
          <w:u w:val="single"/>
        </w:rPr>
        <w:t>Ground 5</w:t>
      </w:r>
      <w:r w:rsidRPr="00207C02">
        <w:rPr>
          <w:rFonts w:ascii="Palatino Linotype" w:hAnsi="Palatino Linotype" w:cs="Arial"/>
          <w:b/>
          <w:bCs/>
        </w:rPr>
        <w:t xml:space="preserve"> </w:t>
      </w:r>
      <w:r w:rsidRPr="00207C02">
        <w:rPr>
          <w:rFonts w:ascii="Palatino Linotype" w:hAnsi="Palatino Linotype" w:cs="Arial"/>
          <w:b/>
          <w:bCs/>
          <w:i/>
          <w:iCs/>
        </w:rPr>
        <w:t xml:space="preserve">That the Respondent acted unlawfully in relying on planning policies which were </w:t>
      </w:r>
      <w:proofErr w:type="gramStart"/>
      <w:r w:rsidRPr="00207C02">
        <w:rPr>
          <w:rFonts w:ascii="Palatino Linotype" w:hAnsi="Palatino Linotype" w:cs="Arial"/>
          <w:b/>
          <w:bCs/>
          <w:i/>
          <w:iCs/>
        </w:rPr>
        <w:t>themselves</w:t>
      </w:r>
      <w:proofErr w:type="gramEnd"/>
      <w:r w:rsidRPr="00207C02">
        <w:rPr>
          <w:rFonts w:ascii="Palatino Linotype" w:hAnsi="Palatino Linotype" w:cs="Arial"/>
          <w:b/>
          <w:bCs/>
          <w:i/>
          <w:iCs/>
        </w:rPr>
        <w:t xml:space="preserve"> unlawful in that they breach the requirements of the </w:t>
      </w:r>
      <w:proofErr w:type="spellStart"/>
      <w:r w:rsidRPr="00207C02">
        <w:rPr>
          <w:rFonts w:ascii="Palatino Linotype" w:hAnsi="Palatino Linotype" w:cs="Arial"/>
          <w:b/>
          <w:bCs/>
          <w:i/>
          <w:iCs/>
        </w:rPr>
        <w:t>Åarhus</w:t>
      </w:r>
      <w:proofErr w:type="spellEnd"/>
      <w:r w:rsidRPr="00207C02">
        <w:rPr>
          <w:rFonts w:ascii="Palatino Linotype" w:hAnsi="Palatino Linotype" w:cs="Arial"/>
          <w:b/>
          <w:bCs/>
          <w:i/>
          <w:iCs/>
        </w:rPr>
        <w:t xml:space="preserve"> Convention.</w:t>
      </w:r>
    </w:p>
    <w:p w:rsidR="00215157" w:rsidRPr="00207C02" w:rsidRDefault="00890591" w:rsidP="007C65B3">
      <w:pPr>
        <w:pStyle w:val="NormalWeb"/>
        <w:spacing w:before="0" w:beforeAutospacing="0" w:after="0" w:afterAutospacing="0" w:line="336" w:lineRule="atLeast"/>
        <w:jc w:val="both"/>
        <w:rPr>
          <w:rFonts w:ascii="Palatino Linotype" w:hAnsi="Palatino Linotype"/>
          <w:color w:val="444444"/>
          <w:sz w:val="22"/>
          <w:szCs w:val="22"/>
        </w:rPr>
      </w:pPr>
      <w:r w:rsidRPr="00207C02">
        <w:rPr>
          <w:rFonts w:ascii="Palatino Linotype" w:hAnsi="Palatino Linotype"/>
          <w:color w:val="444444"/>
          <w:sz w:val="22"/>
          <w:szCs w:val="22"/>
        </w:rPr>
        <w:t>Within the dark sky park</w:t>
      </w:r>
      <w:r w:rsidR="00215157" w:rsidRPr="00207C02">
        <w:rPr>
          <w:rFonts w:ascii="Palatino Linotype" w:hAnsi="Palatino Linotype"/>
          <w:color w:val="444444"/>
          <w:sz w:val="22"/>
          <w:szCs w:val="22"/>
        </w:rPr>
        <w:t xml:space="preserve"> (strangely coinciding with the opening of the Commonwealth Games which naturally the media and press </w:t>
      </w:r>
      <w:r w:rsidRPr="00207C02">
        <w:rPr>
          <w:rFonts w:ascii="Palatino Linotype" w:hAnsi="Palatino Linotype"/>
          <w:color w:val="444444"/>
          <w:sz w:val="22"/>
          <w:szCs w:val="22"/>
        </w:rPr>
        <w:t xml:space="preserve">were </w:t>
      </w:r>
      <w:r w:rsidR="00215157" w:rsidRPr="00207C02">
        <w:rPr>
          <w:rFonts w:ascii="Palatino Linotype" w:hAnsi="Palatino Linotype"/>
          <w:color w:val="444444"/>
          <w:sz w:val="22"/>
          <w:szCs w:val="22"/>
        </w:rPr>
        <w:t xml:space="preserve">focused on) </w:t>
      </w:r>
      <w:proofErr w:type="spellStart"/>
      <w:r w:rsidR="00215157" w:rsidRPr="00207C02">
        <w:rPr>
          <w:rFonts w:ascii="Palatino Linotype" w:hAnsi="Palatino Linotype"/>
          <w:b/>
          <w:color w:val="444444"/>
          <w:sz w:val="22"/>
          <w:szCs w:val="22"/>
        </w:rPr>
        <w:t>Dersalloch</w:t>
      </w:r>
      <w:proofErr w:type="spellEnd"/>
      <w:r w:rsidR="00215157" w:rsidRPr="00207C02">
        <w:rPr>
          <w:rFonts w:ascii="Palatino Linotype" w:hAnsi="Palatino Linotype"/>
          <w:b/>
          <w:color w:val="444444"/>
          <w:sz w:val="22"/>
          <w:szCs w:val="22"/>
        </w:rPr>
        <w:t xml:space="preserve"> Windfarm</w:t>
      </w:r>
      <w:r w:rsidR="00215157" w:rsidRPr="00207C02">
        <w:rPr>
          <w:rFonts w:ascii="Palatino Linotype" w:hAnsi="Palatino Linotype"/>
          <w:color w:val="444444"/>
          <w:sz w:val="22"/>
          <w:szCs w:val="22"/>
        </w:rPr>
        <w:t xml:space="preserve"> - </w:t>
      </w:r>
      <w:proofErr w:type="spellStart"/>
      <w:r w:rsidR="00215157" w:rsidRPr="00207C02">
        <w:rPr>
          <w:rFonts w:ascii="Palatino Linotype" w:hAnsi="Palatino Linotype"/>
          <w:color w:val="444444"/>
          <w:sz w:val="22"/>
          <w:szCs w:val="22"/>
        </w:rPr>
        <w:t>approx</w:t>
      </w:r>
      <w:proofErr w:type="spellEnd"/>
      <w:r w:rsidR="00215157" w:rsidRPr="00207C02">
        <w:rPr>
          <w:rFonts w:ascii="Palatino Linotype" w:hAnsi="Palatino Linotype"/>
          <w:color w:val="444444"/>
          <w:sz w:val="22"/>
          <w:szCs w:val="22"/>
        </w:rPr>
        <w:t xml:space="preserve"> 2km East of </w:t>
      </w:r>
      <w:proofErr w:type="spellStart"/>
      <w:r w:rsidR="00215157" w:rsidRPr="00207C02">
        <w:rPr>
          <w:rFonts w:ascii="Palatino Linotype" w:hAnsi="Palatino Linotype"/>
          <w:color w:val="444444"/>
          <w:sz w:val="22"/>
          <w:szCs w:val="22"/>
        </w:rPr>
        <w:t>Straiton</w:t>
      </w:r>
      <w:proofErr w:type="spellEnd"/>
      <w:r w:rsidR="00215157" w:rsidRPr="00207C02">
        <w:rPr>
          <w:rFonts w:ascii="Palatino Linotype" w:hAnsi="Palatino Linotype"/>
          <w:color w:val="444444"/>
          <w:sz w:val="22"/>
          <w:szCs w:val="22"/>
        </w:rPr>
        <w:t xml:space="preserve">, was approved </w:t>
      </w:r>
      <w:r w:rsidR="00215157" w:rsidRPr="00207C02">
        <w:rPr>
          <w:rStyle w:val="Emphasis"/>
          <w:rFonts w:ascii="Palatino Linotype" w:hAnsi="Palatino Linotype"/>
          <w:b/>
          <w:bCs/>
          <w:color w:val="444444"/>
          <w:sz w:val="22"/>
          <w:szCs w:val="22"/>
        </w:rPr>
        <w:t>directly</w:t>
      </w:r>
      <w:r w:rsidR="00215157" w:rsidRPr="00207C02">
        <w:rPr>
          <w:rFonts w:ascii="Palatino Linotype" w:hAnsi="Palatino Linotype"/>
          <w:color w:val="444444"/>
          <w:sz w:val="22"/>
          <w:szCs w:val="22"/>
        </w:rPr>
        <w:t xml:space="preserve"> by Scottish energy Minister, Fergus Ewing.  The article regarding this decision can be viewed </w:t>
      </w:r>
      <w:hyperlink r:id="rId10" w:tgtFrame="_blank" w:history="1">
        <w:r w:rsidR="00215157" w:rsidRPr="00207C02">
          <w:rPr>
            <w:rStyle w:val="Hyperlink"/>
            <w:rFonts w:ascii="Palatino Linotype" w:hAnsi="Palatino Linotype"/>
            <w:color w:val="2585B2"/>
            <w:sz w:val="22"/>
            <w:szCs w:val="22"/>
            <w:u w:val="single"/>
          </w:rPr>
          <w:t>here</w:t>
        </w:r>
      </w:hyperlink>
      <w:r w:rsidR="00215157" w:rsidRPr="00207C02">
        <w:rPr>
          <w:rFonts w:ascii="Palatino Linotype" w:hAnsi="Palatino Linotype"/>
          <w:color w:val="444444"/>
          <w:sz w:val="22"/>
          <w:szCs w:val="22"/>
        </w:rPr>
        <w:t>.</w:t>
      </w:r>
      <w:r w:rsidRPr="00207C02">
        <w:rPr>
          <w:rFonts w:ascii="Palatino Linotype" w:hAnsi="Palatino Linotype"/>
          <w:color w:val="444444"/>
          <w:sz w:val="22"/>
          <w:szCs w:val="22"/>
        </w:rPr>
        <w:t xml:space="preserve"> </w:t>
      </w:r>
    </w:p>
    <w:p w:rsidR="00215157" w:rsidRPr="00207C02" w:rsidRDefault="00215157" w:rsidP="007C65B3">
      <w:pPr>
        <w:pStyle w:val="NormalWeb"/>
        <w:spacing w:before="0" w:beforeAutospacing="0" w:after="0" w:afterAutospacing="0" w:line="336" w:lineRule="atLeast"/>
        <w:jc w:val="both"/>
        <w:rPr>
          <w:rFonts w:ascii="Palatino Linotype" w:hAnsi="Palatino Linotype"/>
          <w:color w:val="444444"/>
          <w:sz w:val="22"/>
          <w:szCs w:val="22"/>
        </w:rPr>
      </w:pPr>
      <w:r w:rsidRPr="00207C02">
        <w:rPr>
          <w:rFonts w:ascii="Palatino Linotype" w:hAnsi="Palatino Linotype"/>
          <w:color w:val="444444"/>
          <w:sz w:val="22"/>
          <w:szCs w:val="22"/>
        </w:rPr>
        <w:t xml:space="preserve">After a 7 year battle which amassed close to </w:t>
      </w:r>
      <w:r w:rsidRPr="00207C02">
        <w:rPr>
          <w:rStyle w:val="Strong"/>
          <w:rFonts w:ascii="Palatino Linotype" w:hAnsi="Palatino Linotype"/>
          <w:color w:val="444444"/>
          <w:sz w:val="22"/>
          <w:szCs w:val="22"/>
        </w:rPr>
        <w:t>5000 objections</w:t>
      </w:r>
      <w:r w:rsidRPr="00207C02">
        <w:rPr>
          <w:rFonts w:ascii="Palatino Linotype" w:hAnsi="Palatino Linotype"/>
          <w:color w:val="444444"/>
          <w:sz w:val="22"/>
          <w:szCs w:val="22"/>
        </w:rPr>
        <w:t xml:space="preserve"> (including objections from the </w:t>
      </w:r>
      <w:r w:rsidR="00890591" w:rsidRPr="00207C02">
        <w:rPr>
          <w:rFonts w:ascii="Palatino Linotype" w:hAnsi="Palatino Linotype"/>
          <w:color w:val="444444"/>
          <w:sz w:val="22"/>
          <w:szCs w:val="22"/>
        </w:rPr>
        <w:t xml:space="preserve">Planning Authorities East and </w:t>
      </w:r>
      <w:r w:rsidRPr="00207C02">
        <w:rPr>
          <w:rFonts w:ascii="Palatino Linotype" w:hAnsi="Palatino Linotype"/>
          <w:color w:val="444444"/>
          <w:sz w:val="22"/>
          <w:szCs w:val="22"/>
        </w:rPr>
        <w:t>South Ayrshire Council</w:t>
      </w:r>
      <w:r w:rsidR="00890591" w:rsidRPr="00207C02">
        <w:rPr>
          <w:rFonts w:ascii="Palatino Linotype" w:hAnsi="Palatino Linotype"/>
          <w:color w:val="444444"/>
          <w:sz w:val="22"/>
          <w:szCs w:val="22"/>
        </w:rPr>
        <w:t>s</w:t>
      </w:r>
      <w:r w:rsidRPr="00207C02">
        <w:rPr>
          <w:rFonts w:ascii="Palatino Linotype" w:hAnsi="Palatino Linotype"/>
          <w:color w:val="444444"/>
          <w:sz w:val="22"/>
          <w:szCs w:val="22"/>
        </w:rPr>
        <w:t xml:space="preserve">),  Save </w:t>
      </w:r>
      <w:proofErr w:type="spellStart"/>
      <w:r w:rsidRPr="00207C02">
        <w:rPr>
          <w:rFonts w:ascii="Palatino Linotype" w:hAnsi="Palatino Linotype"/>
          <w:color w:val="444444"/>
          <w:sz w:val="22"/>
          <w:szCs w:val="22"/>
        </w:rPr>
        <w:t>Straiton</w:t>
      </w:r>
      <w:proofErr w:type="spellEnd"/>
      <w:r w:rsidRPr="00207C02">
        <w:rPr>
          <w:rFonts w:ascii="Palatino Linotype" w:hAnsi="Palatino Linotype"/>
          <w:color w:val="444444"/>
          <w:sz w:val="22"/>
          <w:szCs w:val="22"/>
        </w:rPr>
        <w:t xml:space="preserve"> for Scotland anti windfarm group were repeatedly informed that this application would be going to Public Local Inquiry (PLI), at which point it would be given a full and proper review taking account of post 2005 changes in planning and landscape policy, cumulative impact, and the application itself in terms of access  and location of turbines. It appears however, as can be seen from the Scottish Government </w:t>
      </w:r>
      <w:hyperlink r:id="rId11" w:tgtFrame="_blank" w:history="1">
        <w:r w:rsidRPr="00207C02">
          <w:rPr>
            <w:rStyle w:val="Hyperlink"/>
            <w:rFonts w:ascii="Palatino Linotype" w:hAnsi="Palatino Linotype"/>
            <w:color w:val="2585B2"/>
            <w:sz w:val="22"/>
            <w:szCs w:val="22"/>
            <w:u w:val="single"/>
          </w:rPr>
          <w:t>decision letter</w:t>
        </w:r>
      </w:hyperlink>
      <w:r w:rsidRPr="00207C02">
        <w:rPr>
          <w:rFonts w:ascii="Palatino Linotype" w:hAnsi="Palatino Linotype"/>
          <w:color w:val="444444"/>
          <w:sz w:val="22"/>
          <w:szCs w:val="22"/>
        </w:rPr>
        <w:t>, that there is a convenient 'clause' in the Electricity Act (see page 6), essentially meaning that the objections from South Ayrshire Council</w:t>
      </w:r>
      <w:r w:rsidR="00890591" w:rsidRPr="00207C02">
        <w:rPr>
          <w:rFonts w:ascii="Palatino Linotype" w:hAnsi="Palatino Linotype"/>
          <w:color w:val="444444"/>
          <w:sz w:val="22"/>
          <w:szCs w:val="22"/>
        </w:rPr>
        <w:t xml:space="preserve"> were deemed late</w:t>
      </w:r>
      <w:r w:rsidRPr="00207C02">
        <w:rPr>
          <w:rFonts w:ascii="Palatino Linotype" w:hAnsi="Palatino Linotype"/>
          <w:color w:val="444444"/>
          <w:sz w:val="22"/>
          <w:szCs w:val="22"/>
        </w:rPr>
        <w:t xml:space="preserve">, </w:t>
      </w:r>
      <w:r w:rsidR="00890591" w:rsidRPr="00207C02">
        <w:rPr>
          <w:rFonts w:ascii="Palatino Linotype" w:hAnsi="Palatino Linotype"/>
          <w:color w:val="444444"/>
          <w:sz w:val="22"/>
          <w:szCs w:val="22"/>
        </w:rPr>
        <w:t xml:space="preserve">so this </w:t>
      </w:r>
      <w:r w:rsidRPr="00207C02">
        <w:rPr>
          <w:rFonts w:ascii="Palatino Linotype" w:hAnsi="Palatino Linotype"/>
          <w:color w:val="444444"/>
          <w:sz w:val="22"/>
          <w:szCs w:val="22"/>
        </w:rPr>
        <w:t>did not in this case automatically trigger a PLI. </w:t>
      </w:r>
    </w:p>
    <w:p w:rsidR="00215157" w:rsidRPr="00207C02" w:rsidRDefault="00215157" w:rsidP="007C65B3">
      <w:pPr>
        <w:pStyle w:val="NormalWeb"/>
        <w:spacing w:before="0" w:beforeAutospacing="0" w:after="0" w:afterAutospacing="0" w:line="336" w:lineRule="atLeast"/>
        <w:jc w:val="both"/>
        <w:rPr>
          <w:rFonts w:ascii="Palatino Linotype" w:hAnsi="Palatino Linotype"/>
          <w:color w:val="444444"/>
          <w:sz w:val="22"/>
          <w:szCs w:val="22"/>
        </w:rPr>
      </w:pPr>
      <w:r w:rsidRPr="00207C02">
        <w:rPr>
          <w:rFonts w:ascii="Palatino Linotype" w:hAnsi="Palatino Linotype"/>
          <w:color w:val="444444"/>
          <w:sz w:val="22"/>
          <w:szCs w:val="22"/>
        </w:rPr>
        <w:t>This is just another occasion when the Scottish Government is abusing the law and the judiciary are horrified.</w:t>
      </w:r>
    </w:p>
    <w:p w:rsidR="00890591" w:rsidRPr="00207C02" w:rsidRDefault="00215157" w:rsidP="007C65B3">
      <w:pPr>
        <w:pStyle w:val="NormalWeb"/>
        <w:spacing w:before="0" w:beforeAutospacing="0" w:after="0" w:afterAutospacing="0" w:line="336" w:lineRule="atLeast"/>
        <w:jc w:val="both"/>
        <w:rPr>
          <w:rFonts w:ascii="Palatino Linotype" w:hAnsi="Palatino Linotype"/>
          <w:color w:val="444444"/>
          <w:sz w:val="22"/>
          <w:szCs w:val="22"/>
        </w:rPr>
      </w:pPr>
      <w:r w:rsidRPr="00207C02">
        <w:rPr>
          <w:rFonts w:ascii="Palatino Linotype" w:hAnsi="Palatino Linotype"/>
          <w:color w:val="444444"/>
          <w:sz w:val="22"/>
          <w:szCs w:val="22"/>
        </w:rPr>
        <w:t xml:space="preserve">In addition to this PLI clause - the 4723 objections do not appear to have any bearing on the decision. It might be pertinent at this point to roll the clock back 18 months to a point where the national press was questioning the continual waiving through of windfarm applications despite 10,000 objections having been received directly by Scottish ministers (at that point between 2008 and 2013).  A report in the </w:t>
      </w:r>
      <w:hyperlink r:id="rId12" w:tgtFrame="_blank" w:history="1">
        <w:r w:rsidRPr="00207C02">
          <w:rPr>
            <w:rStyle w:val="Hyperlink"/>
            <w:rFonts w:ascii="Palatino Linotype" w:hAnsi="Palatino Linotype"/>
            <w:color w:val="2585B2"/>
            <w:sz w:val="22"/>
            <w:szCs w:val="22"/>
            <w:u w:val="single"/>
          </w:rPr>
          <w:t xml:space="preserve">Herald </w:t>
        </w:r>
      </w:hyperlink>
      <w:r w:rsidRPr="00207C02">
        <w:rPr>
          <w:rFonts w:ascii="Palatino Linotype" w:hAnsi="Palatino Linotype"/>
          <w:color w:val="444444"/>
          <w:sz w:val="22"/>
          <w:szCs w:val="22"/>
        </w:rPr>
        <w:t>at the time quoted a representative for the Scottish Government saying</w:t>
      </w:r>
      <w:proofErr w:type="gramStart"/>
      <w:r w:rsidRPr="00207C02">
        <w:rPr>
          <w:rFonts w:ascii="Palatino Linotype" w:hAnsi="Palatino Linotype"/>
          <w:color w:val="444444"/>
          <w:sz w:val="22"/>
          <w:szCs w:val="22"/>
        </w:rPr>
        <w:t> </w:t>
      </w:r>
      <w:r w:rsidRPr="00207C02">
        <w:rPr>
          <w:rStyle w:val="Emphasis"/>
          <w:rFonts w:ascii="Palatino Linotype" w:hAnsi="Palatino Linotype"/>
          <w:b/>
          <w:bCs/>
          <w:color w:val="444444"/>
          <w:sz w:val="22"/>
          <w:szCs w:val="22"/>
        </w:rPr>
        <w:t xml:space="preserve"> “</w:t>
      </w:r>
      <w:proofErr w:type="gramEnd"/>
      <w:r w:rsidRPr="00207C02">
        <w:rPr>
          <w:rStyle w:val="Emphasis"/>
          <w:rFonts w:ascii="Palatino Linotype" w:hAnsi="Palatino Linotype"/>
          <w:b/>
          <w:bCs/>
          <w:color w:val="444444"/>
          <w:sz w:val="22"/>
          <w:szCs w:val="22"/>
        </w:rPr>
        <w:t xml:space="preserve">Scotland has open, inclusive and transparent planning processes which give the right protection to our magnificent landscapes, and which takes the views of local communities into account.”  </w:t>
      </w:r>
    </w:p>
    <w:p w:rsidR="00A778F9" w:rsidRDefault="004C5DAC" w:rsidP="007C65B3">
      <w:pPr>
        <w:pStyle w:val="NormalWeb"/>
        <w:spacing w:before="0" w:beforeAutospacing="0" w:after="0" w:afterAutospacing="0" w:line="336" w:lineRule="atLeast"/>
        <w:jc w:val="both"/>
        <w:rPr>
          <w:rFonts w:ascii="Palatino Linotype" w:hAnsi="Palatino Linotype"/>
          <w:b/>
          <w:color w:val="444444"/>
          <w:sz w:val="22"/>
          <w:szCs w:val="22"/>
        </w:rPr>
      </w:pPr>
      <w:proofErr w:type="spellStart"/>
      <w:r w:rsidRPr="00207C02">
        <w:rPr>
          <w:rFonts w:ascii="Palatino Linotype" w:hAnsi="Palatino Linotype"/>
          <w:b/>
          <w:color w:val="444444"/>
          <w:sz w:val="22"/>
          <w:szCs w:val="22"/>
        </w:rPr>
        <w:t>Dersalloch</w:t>
      </w:r>
      <w:proofErr w:type="spellEnd"/>
      <w:r w:rsidRPr="00207C02">
        <w:rPr>
          <w:rFonts w:ascii="Palatino Linotype" w:hAnsi="Palatino Linotype"/>
          <w:b/>
          <w:color w:val="444444"/>
          <w:sz w:val="22"/>
          <w:szCs w:val="22"/>
        </w:rPr>
        <w:t xml:space="preserve"> </w:t>
      </w:r>
      <w:r w:rsidR="00EA69C7" w:rsidRPr="00207C02">
        <w:rPr>
          <w:rFonts w:ascii="Palatino Linotype" w:hAnsi="Palatino Linotype"/>
          <w:b/>
          <w:color w:val="444444"/>
          <w:sz w:val="22"/>
          <w:szCs w:val="22"/>
        </w:rPr>
        <w:t xml:space="preserve">needs </w:t>
      </w:r>
      <w:r w:rsidRPr="00207C02">
        <w:rPr>
          <w:rFonts w:ascii="Palatino Linotype" w:hAnsi="Palatino Linotype"/>
          <w:b/>
          <w:color w:val="444444"/>
          <w:sz w:val="22"/>
          <w:szCs w:val="22"/>
        </w:rPr>
        <w:t>to be a</w:t>
      </w:r>
      <w:r w:rsidR="00A778F9" w:rsidRPr="00207C02">
        <w:rPr>
          <w:rFonts w:ascii="Palatino Linotype" w:hAnsi="Palatino Linotype"/>
          <w:b/>
          <w:color w:val="444444"/>
          <w:sz w:val="22"/>
          <w:szCs w:val="22"/>
        </w:rPr>
        <w:t xml:space="preserve"> test case to put an end to this dogmatic approach by the Scottish Government</w:t>
      </w:r>
      <w:r w:rsidR="00861135">
        <w:rPr>
          <w:rFonts w:ascii="Palatino Linotype" w:hAnsi="Palatino Linotype"/>
          <w:b/>
          <w:color w:val="444444"/>
          <w:sz w:val="22"/>
          <w:szCs w:val="22"/>
        </w:rPr>
        <w:t xml:space="preserve">. </w:t>
      </w:r>
    </w:p>
    <w:p w:rsidR="00861135" w:rsidRPr="00207C02" w:rsidRDefault="00861135" w:rsidP="007C65B3">
      <w:pPr>
        <w:pStyle w:val="NormalWeb"/>
        <w:spacing w:before="0" w:beforeAutospacing="0" w:after="0" w:afterAutospacing="0" w:line="336" w:lineRule="atLeast"/>
        <w:jc w:val="both"/>
        <w:rPr>
          <w:rFonts w:ascii="Palatino Linotype" w:hAnsi="Palatino Linotype"/>
          <w:b/>
          <w:color w:val="444444"/>
          <w:sz w:val="22"/>
          <w:szCs w:val="22"/>
        </w:rPr>
      </w:pPr>
    </w:p>
    <w:p w:rsidR="00207C02" w:rsidRPr="00A62511" w:rsidRDefault="00861135" w:rsidP="00861135">
      <w:pPr>
        <w:spacing w:after="0"/>
        <w:jc w:val="both"/>
        <w:rPr>
          <w:rFonts w:ascii="Palatino Linotype" w:hAnsi="Palatino Linotype"/>
        </w:rPr>
      </w:pPr>
      <w:r w:rsidRPr="00A62511">
        <w:rPr>
          <w:rFonts w:ascii="Palatino Linotype" w:hAnsi="Palatino Linotype" w:cs="Times New Roman"/>
        </w:rPr>
        <w:t>T</w:t>
      </w:r>
      <w:r w:rsidR="00EA69C7" w:rsidRPr="00A62511">
        <w:rPr>
          <w:rFonts w:ascii="Palatino Linotype" w:hAnsi="Palatino Linotype" w:cs="Times New Roman"/>
        </w:rPr>
        <w:t>he John Muir Trust</w:t>
      </w:r>
      <w:r w:rsidRPr="00A62511">
        <w:rPr>
          <w:rFonts w:ascii="Palatino Linotype" w:hAnsi="Palatino Linotype" w:cs="Times New Roman"/>
        </w:rPr>
        <w:t xml:space="preserve"> </w:t>
      </w:r>
      <w:r w:rsidR="00207C02" w:rsidRPr="00A62511">
        <w:rPr>
          <w:rFonts w:ascii="Palatino Linotype" w:hAnsi="Palatino Linotype"/>
        </w:rPr>
        <w:t xml:space="preserve">has now lodged a petition to the Court of Session asking for a judicial review of the decision in June by Energy Minister Fergus Ewing to grant consent to the 67-turbine </w:t>
      </w:r>
      <w:proofErr w:type="spellStart"/>
      <w:r w:rsidR="00207C02" w:rsidRPr="00A62511">
        <w:rPr>
          <w:rFonts w:ascii="Palatino Linotype" w:hAnsi="Palatino Linotype"/>
        </w:rPr>
        <w:t>Stronelairg</w:t>
      </w:r>
      <w:proofErr w:type="spellEnd"/>
      <w:r w:rsidR="00207C02" w:rsidRPr="00A62511">
        <w:rPr>
          <w:rFonts w:ascii="Palatino Linotype" w:hAnsi="Palatino Linotype"/>
        </w:rPr>
        <w:t xml:space="preserve"> wind farm in the </w:t>
      </w:r>
      <w:proofErr w:type="spellStart"/>
      <w:r w:rsidR="00207C02" w:rsidRPr="00A62511">
        <w:rPr>
          <w:rFonts w:ascii="Palatino Linotype" w:hAnsi="Palatino Linotype"/>
        </w:rPr>
        <w:t>Monadhliath</w:t>
      </w:r>
      <w:proofErr w:type="spellEnd"/>
      <w:r w:rsidR="00207C02" w:rsidRPr="00A62511">
        <w:rPr>
          <w:rFonts w:ascii="Palatino Linotype" w:hAnsi="Palatino Linotype"/>
        </w:rPr>
        <w:t xml:space="preserve"> Mountains between the A9 and Loch Ness. </w:t>
      </w:r>
    </w:p>
    <w:p w:rsidR="00A62511" w:rsidRPr="00A62511" w:rsidRDefault="00A62511" w:rsidP="00861135">
      <w:pPr>
        <w:spacing w:after="0"/>
        <w:jc w:val="both"/>
        <w:rPr>
          <w:rFonts w:ascii="Palatino Linotype" w:hAnsi="Palatino Linotype"/>
        </w:rPr>
      </w:pPr>
    </w:p>
    <w:p w:rsidR="00A62511" w:rsidRPr="00A62511" w:rsidRDefault="00A62511" w:rsidP="00A62511">
      <w:pPr>
        <w:pStyle w:val="PlainText"/>
        <w:rPr>
          <w:rFonts w:ascii="Palatino Linotype" w:hAnsi="Palatino Linotype"/>
        </w:rPr>
      </w:pPr>
      <w:r w:rsidRPr="00A62511">
        <w:rPr>
          <w:rFonts w:ascii="Palatino Linotype" w:hAnsi="Palatino Linotype"/>
        </w:rPr>
        <w:t>Anti-Viking Energy campaign group Sustainable Shetland has announced that it will take its fight against the 103-turbine wind farm to the Supreme Court in London.</w:t>
      </w:r>
      <w:r w:rsidR="007C7B1E">
        <w:rPr>
          <w:rFonts w:ascii="Palatino Linotype" w:hAnsi="Palatino Linotype"/>
        </w:rPr>
        <w:t xml:space="preserve"> </w:t>
      </w:r>
      <w:r w:rsidRPr="00A62511">
        <w:rPr>
          <w:rFonts w:ascii="Palatino Linotype" w:hAnsi="Palatino Linotype"/>
        </w:rPr>
        <w:t>In 2013 the Court of Session upheld Sustainable Shetland’s appeal in a judicial review against the Scottish Government’s decision to grant consent for the controversial project. The project had been given the green light by energy minister Fergus Ewing back in April 2012.</w:t>
      </w:r>
    </w:p>
    <w:p w:rsidR="00A62511" w:rsidRPr="00A62511" w:rsidRDefault="00A62511" w:rsidP="00A62511">
      <w:pPr>
        <w:pStyle w:val="PlainText"/>
        <w:rPr>
          <w:rFonts w:ascii="Palatino Linotype" w:hAnsi="Palatino Linotype"/>
        </w:rPr>
      </w:pPr>
      <w:r w:rsidRPr="00A62511">
        <w:rPr>
          <w:rFonts w:ascii="Palatino Linotype" w:hAnsi="Palatino Linotype"/>
        </w:rPr>
        <w:t xml:space="preserve">But earlier this summer the Inner House of the Court of Session overturned Lady Clark of </w:t>
      </w:r>
      <w:proofErr w:type="spellStart"/>
      <w:r w:rsidRPr="00A62511">
        <w:rPr>
          <w:rFonts w:ascii="Palatino Linotype" w:hAnsi="Palatino Linotype"/>
        </w:rPr>
        <w:t>Calton’s</w:t>
      </w:r>
      <w:proofErr w:type="spellEnd"/>
      <w:r w:rsidRPr="00A62511">
        <w:rPr>
          <w:rFonts w:ascii="Palatino Linotype" w:hAnsi="Palatino Linotype"/>
        </w:rPr>
        <w:t xml:space="preserve"> ruling, saying Ewing had acted lawfully in giving the project consent.</w:t>
      </w:r>
    </w:p>
    <w:p w:rsidR="00A62511" w:rsidRPr="00A62511" w:rsidRDefault="00A62511" w:rsidP="00A62511">
      <w:pPr>
        <w:pStyle w:val="PlainText"/>
        <w:rPr>
          <w:rFonts w:ascii="Palatino Linotype" w:hAnsi="Palatino Linotype"/>
        </w:rPr>
      </w:pPr>
    </w:p>
    <w:p w:rsidR="00A62511" w:rsidRPr="00207C02" w:rsidRDefault="00A62511" w:rsidP="00861135">
      <w:pPr>
        <w:spacing w:after="0"/>
        <w:jc w:val="both"/>
        <w:rPr>
          <w:rFonts w:ascii="Palatino Linotype" w:hAnsi="Palatino Linotype" w:cs="Times New Roman"/>
        </w:rPr>
      </w:pPr>
    </w:p>
    <w:p w:rsidR="00B0572D" w:rsidRDefault="00A62511" w:rsidP="007C65B3">
      <w:pPr>
        <w:spacing w:after="0"/>
        <w:jc w:val="both"/>
        <w:rPr>
          <w:rFonts w:ascii="Palatino Linotype" w:eastAsia="Times New Roman" w:hAnsi="Palatino Linotype" w:cs="Times New Roman"/>
        </w:rPr>
      </w:pPr>
      <w:r w:rsidRPr="007C7B1E">
        <w:rPr>
          <w:rFonts w:ascii="Palatino Linotype" w:eastAsia="Times New Roman" w:hAnsi="Palatino Linotype" w:cs="Times New Roman"/>
        </w:rPr>
        <w:t xml:space="preserve">The leasing of Scottish Water and Forestry Commission Scotland Land </w:t>
      </w:r>
      <w:r w:rsidR="007C7B1E" w:rsidRPr="007C7B1E">
        <w:rPr>
          <w:rFonts w:ascii="Palatino Linotype" w:eastAsia="Times New Roman" w:hAnsi="Palatino Linotype" w:cs="Times New Roman"/>
        </w:rPr>
        <w:t>by the Scottish Government to windfarm developers now needs to be challenged through the courts.</w:t>
      </w:r>
    </w:p>
    <w:p w:rsidR="007C7B1E" w:rsidRDefault="007C7B1E" w:rsidP="007C65B3">
      <w:pPr>
        <w:spacing w:after="0"/>
        <w:jc w:val="both"/>
        <w:rPr>
          <w:rFonts w:ascii="Palatino Linotype" w:eastAsia="Times New Roman" w:hAnsi="Palatino Linotype" w:cs="Times New Roman"/>
        </w:rPr>
      </w:pPr>
    </w:p>
    <w:p w:rsidR="007C7B1E" w:rsidRDefault="007C7B1E" w:rsidP="007C7B1E">
      <w:pPr>
        <w:spacing w:after="0"/>
        <w:jc w:val="both"/>
        <w:rPr>
          <w:rFonts w:ascii="Palatino Linotype" w:hAnsi="Palatino Linotype" w:cs="Times New Roman"/>
        </w:rPr>
      </w:pPr>
      <w:r w:rsidRPr="00207C02">
        <w:rPr>
          <w:rFonts w:ascii="Palatino Linotype" w:hAnsi="Palatino Linotype" w:cs="Times New Roman"/>
        </w:rPr>
        <w:t xml:space="preserve">The Scottish Government is very aware that Appeals are expensive and beyond the scope of ordinary people </w:t>
      </w:r>
      <w:r w:rsidR="00C12AA3">
        <w:rPr>
          <w:rFonts w:ascii="Palatino Linotype" w:hAnsi="Palatino Linotype" w:cs="Times New Roman"/>
        </w:rPr>
        <w:t>and councils which is why they feel able to ‘bend’ the law and ignore local democracy.</w:t>
      </w:r>
      <w:bookmarkStart w:id="0" w:name="_GoBack"/>
      <w:bookmarkEnd w:id="0"/>
    </w:p>
    <w:p w:rsidR="007C7B1E" w:rsidRPr="007C7B1E" w:rsidRDefault="007C7B1E" w:rsidP="007C65B3">
      <w:pPr>
        <w:spacing w:after="0"/>
        <w:jc w:val="both"/>
        <w:rPr>
          <w:rFonts w:ascii="Palatino Linotype" w:eastAsia="Times New Roman" w:hAnsi="Palatino Linotype" w:cs="Times New Roman"/>
        </w:rPr>
      </w:pPr>
    </w:p>
    <w:p w:rsidR="007C7B1E" w:rsidRPr="004C5DAC" w:rsidRDefault="007C7B1E" w:rsidP="007C65B3">
      <w:pPr>
        <w:spacing w:after="0"/>
        <w:jc w:val="both"/>
        <w:rPr>
          <w:rFonts w:ascii="Palatino Linotype" w:eastAsia="Times New Roman" w:hAnsi="Palatino Linotype" w:cs="Times New Roman"/>
          <w:sz w:val="24"/>
          <w:szCs w:val="24"/>
        </w:rPr>
      </w:pPr>
    </w:p>
    <w:p w:rsidR="005B3C32" w:rsidRDefault="005B3C32"/>
    <w:sectPr w:rsidR="005B3C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0F" w:rsidRDefault="004F150F" w:rsidP="00B0572D">
      <w:pPr>
        <w:spacing w:after="0" w:line="240" w:lineRule="auto"/>
      </w:pPr>
      <w:r>
        <w:separator/>
      </w:r>
    </w:p>
  </w:endnote>
  <w:endnote w:type="continuationSeparator" w:id="0">
    <w:p w:rsidR="004F150F" w:rsidRDefault="004F150F" w:rsidP="00B0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0F" w:rsidRDefault="004F150F" w:rsidP="00B0572D">
      <w:pPr>
        <w:spacing w:after="0" w:line="240" w:lineRule="auto"/>
      </w:pPr>
      <w:r>
        <w:separator/>
      </w:r>
    </w:p>
  </w:footnote>
  <w:footnote w:type="continuationSeparator" w:id="0">
    <w:p w:rsidR="004F150F" w:rsidRDefault="004F150F" w:rsidP="00B05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E0131"/>
    <w:multiLevelType w:val="hybridMultilevel"/>
    <w:tmpl w:val="F1084456"/>
    <w:lvl w:ilvl="0" w:tplc="CAE6901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F1366F"/>
    <w:multiLevelType w:val="hybridMultilevel"/>
    <w:tmpl w:val="86CCA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9E0C1C"/>
    <w:multiLevelType w:val="hybridMultilevel"/>
    <w:tmpl w:val="A5181576"/>
    <w:lvl w:ilvl="0" w:tplc="000F0409">
      <w:start w:val="1"/>
      <w:numFmt w:val="decimal"/>
      <w:lvlText w:val="%1."/>
      <w:lvlJc w:val="left"/>
      <w:pPr>
        <w:tabs>
          <w:tab w:val="num" w:pos="720"/>
        </w:tabs>
        <w:ind w:left="720" w:hanging="360"/>
      </w:pPr>
      <w:rPr>
        <w:rFonts w:ascii="Times New Roman" w:hAnsi="Times New Roman" w:cs="Times New Roman"/>
      </w:rPr>
    </w:lvl>
    <w:lvl w:ilvl="1" w:tplc="00070409">
      <w:start w:val="1"/>
      <w:numFmt w:val="bullet"/>
      <w:lvlText w:val=""/>
      <w:lvlJc w:val="left"/>
      <w:pPr>
        <w:tabs>
          <w:tab w:val="num" w:pos="1440"/>
        </w:tabs>
        <w:ind w:left="1440" w:hanging="360"/>
      </w:pPr>
      <w:rPr>
        <w:rFonts w:ascii="Wingdings" w:hAnsi="Wingdings" w:cs="Times New Roman" w:hint="default"/>
        <w:sz w:val="16"/>
      </w:rPr>
    </w:lvl>
    <w:lvl w:ilvl="2" w:tplc="7AF8D4C0">
      <w:start w:val="1"/>
      <w:numFmt w:val="upperLetter"/>
      <w:lvlText w:val="(%3)"/>
      <w:lvlJc w:val="left"/>
      <w:pPr>
        <w:tabs>
          <w:tab w:val="num" w:pos="2370"/>
        </w:tabs>
        <w:ind w:left="2370" w:hanging="390"/>
      </w:pPr>
      <w:rPr>
        <w:rFonts w:ascii="Times New Roman" w:hAnsi="Times New Roman" w:cs="Times New Roman" w:hint="default"/>
      </w:rPr>
    </w:lvl>
    <w:lvl w:ilvl="3" w:tplc="000F0409">
      <w:start w:val="1"/>
      <w:numFmt w:val="decimal"/>
      <w:lvlText w:val="%4."/>
      <w:lvlJc w:val="left"/>
      <w:pPr>
        <w:tabs>
          <w:tab w:val="num" w:pos="2880"/>
        </w:tabs>
        <w:ind w:left="2880" w:hanging="360"/>
      </w:pPr>
      <w:rPr>
        <w:rFonts w:ascii="Times New Roman" w:hAnsi="Times New Roman" w:cs="Times New Roman"/>
      </w:rPr>
    </w:lvl>
    <w:lvl w:ilvl="4" w:tplc="00190409">
      <w:start w:val="1"/>
      <w:numFmt w:val="lowerLetter"/>
      <w:lvlText w:val="%5."/>
      <w:lvlJc w:val="left"/>
      <w:pPr>
        <w:tabs>
          <w:tab w:val="num" w:pos="3600"/>
        </w:tabs>
        <w:ind w:left="3600" w:hanging="360"/>
      </w:pPr>
      <w:rPr>
        <w:rFonts w:ascii="Times New Roman" w:hAnsi="Times New Roman" w:cs="Times New Roman"/>
      </w:rPr>
    </w:lvl>
    <w:lvl w:ilvl="5" w:tplc="001B0409">
      <w:start w:val="1"/>
      <w:numFmt w:val="lowerRoman"/>
      <w:lvlText w:val="%6."/>
      <w:lvlJc w:val="right"/>
      <w:pPr>
        <w:tabs>
          <w:tab w:val="num" w:pos="4320"/>
        </w:tabs>
        <w:ind w:left="4320" w:hanging="180"/>
      </w:pPr>
      <w:rPr>
        <w:rFonts w:ascii="Times New Roman" w:hAnsi="Times New Roman" w:cs="Times New Roman"/>
      </w:rPr>
    </w:lvl>
    <w:lvl w:ilvl="6" w:tplc="000F0409">
      <w:start w:val="1"/>
      <w:numFmt w:val="decimal"/>
      <w:lvlText w:val="%7."/>
      <w:lvlJc w:val="left"/>
      <w:pPr>
        <w:tabs>
          <w:tab w:val="num" w:pos="5040"/>
        </w:tabs>
        <w:ind w:left="5040" w:hanging="360"/>
      </w:pPr>
      <w:rPr>
        <w:rFonts w:ascii="Times New Roman" w:hAnsi="Times New Roman" w:cs="Times New Roman"/>
      </w:rPr>
    </w:lvl>
    <w:lvl w:ilvl="7" w:tplc="00190409">
      <w:start w:val="1"/>
      <w:numFmt w:val="lowerLetter"/>
      <w:lvlText w:val="%8."/>
      <w:lvlJc w:val="left"/>
      <w:pPr>
        <w:tabs>
          <w:tab w:val="num" w:pos="5760"/>
        </w:tabs>
        <w:ind w:left="5760" w:hanging="360"/>
      </w:pPr>
      <w:rPr>
        <w:rFonts w:ascii="Times New Roman" w:hAnsi="Times New Roman" w:cs="Times New Roman"/>
      </w:rPr>
    </w:lvl>
    <w:lvl w:ilvl="8" w:tplc="001B0409">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2D"/>
    <w:rsid w:val="000F64C2"/>
    <w:rsid w:val="00187F44"/>
    <w:rsid w:val="001C7FEA"/>
    <w:rsid w:val="00207C02"/>
    <w:rsid w:val="00215157"/>
    <w:rsid w:val="003550A8"/>
    <w:rsid w:val="004C5DAC"/>
    <w:rsid w:val="004F150F"/>
    <w:rsid w:val="00523A80"/>
    <w:rsid w:val="005B3C32"/>
    <w:rsid w:val="006026DB"/>
    <w:rsid w:val="0072057D"/>
    <w:rsid w:val="007C65B3"/>
    <w:rsid w:val="007C7B1E"/>
    <w:rsid w:val="00861135"/>
    <w:rsid w:val="00890591"/>
    <w:rsid w:val="0094393E"/>
    <w:rsid w:val="00A62511"/>
    <w:rsid w:val="00A778F9"/>
    <w:rsid w:val="00A93DBF"/>
    <w:rsid w:val="00AC0050"/>
    <w:rsid w:val="00AC344E"/>
    <w:rsid w:val="00B0572D"/>
    <w:rsid w:val="00C12AA3"/>
    <w:rsid w:val="00C623FC"/>
    <w:rsid w:val="00E70FAB"/>
    <w:rsid w:val="00EA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2D"/>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B05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72D"/>
    <w:rPr>
      <w:sz w:val="20"/>
      <w:szCs w:val="20"/>
    </w:rPr>
  </w:style>
  <w:style w:type="character" w:styleId="EndnoteReference">
    <w:name w:val="endnote reference"/>
    <w:basedOn w:val="DefaultParagraphFont"/>
    <w:uiPriority w:val="99"/>
    <w:semiHidden/>
    <w:unhideWhenUsed/>
    <w:rsid w:val="00B0572D"/>
    <w:rPr>
      <w:vertAlign w:val="superscript"/>
    </w:rPr>
  </w:style>
  <w:style w:type="character" w:styleId="Hyperlink">
    <w:name w:val="Hyperlink"/>
    <w:basedOn w:val="DefaultParagraphFont"/>
    <w:uiPriority w:val="99"/>
    <w:unhideWhenUsed/>
    <w:rsid w:val="00215157"/>
    <w:rPr>
      <w:strike w:val="0"/>
      <w:dstrike w:val="0"/>
      <w:color w:val="0088CC"/>
      <w:u w:val="none"/>
      <w:effect w:val="none"/>
    </w:rPr>
  </w:style>
  <w:style w:type="paragraph" w:styleId="NormalWeb">
    <w:name w:val="Normal (Web)"/>
    <w:basedOn w:val="Normal"/>
    <w:uiPriority w:val="99"/>
    <w:semiHidden/>
    <w:unhideWhenUsed/>
    <w:rsid w:val="00215157"/>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215157"/>
    <w:rPr>
      <w:i/>
      <w:iCs/>
    </w:rPr>
  </w:style>
  <w:style w:type="character" w:styleId="Strong">
    <w:name w:val="Strong"/>
    <w:basedOn w:val="DefaultParagraphFont"/>
    <w:uiPriority w:val="22"/>
    <w:qFormat/>
    <w:rsid w:val="00215157"/>
    <w:rPr>
      <w:b/>
      <w:bCs/>
    </w:rPr>
  </w:style>
  <w:style w:type="paragraph" w:styleId="ListParagraph">
    <w:name w:val="List Paragraph"/>
    <w:basedOn w:val="Normal"/>
    <w:uiPriority w:val="34"/>
    <w:qFormat/>
    <w:rsid w:val="00E70FAB"/>
    <w:pPr>
      <w:ind w:left="720"/>
      <w:contextualSpacing/>
    </w:pPr>
  </w:style>
  <w:style w:type="paragraph" w:customStyle="1" w:styleId="CM4">
    <w:name w:val="CM4"/>
    <w:basedOn w:val="Normal"/>
    <w:next w:val="Normal"/>
    <w:rsid w:val="00EA69C7"/>
    <w:pPr>
      <w:autoSpaceDE w:val="0"/>
      <w:autoSpaceDN w:val="0"/>
      <w:adjustRightInd w:val="0"/>
      <w:spacing w:after="0" w:line="240" w:lineRule="auto"/>
    </w:pPr>
    <w:rPr>
      <w:rFonts w:ascii="EUAlbertina" w:eastAsia="Times New Roman" w:hAnsi="EUAlbertina" w:cs="Times New Roman"/>
      <w:sz w:val="20"/>
      <w:szCs w:val="24"/>
      <w:lang w:val="en-US"/>
    </w:rPr>
  </w:style>
  <w:style w:type="paragraph" w:styleId="PlainText">
    <w:name w:val="Plain Text"/>
    <w:basedOn w:val="Normal"/>
    <w:link w:val="PlainTextChar"/>
    <w:uiPriority w:val="99"/>
    <w:unhideWhenUsed/>
    <w:rsid w:val="00207C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7C0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72D"/>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B057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572D"/>
    <w:rPr>
      <w:sz w:val="20"/>
      <w:szCs w:val="20"/>
    </w:rPr>
  </w:style>
  <w:style w:type="character" w:styleId="EndnoteReference">
    <w:name w:val="endnote reference"/>
    <w:basedOn w:val="DefaultParagraphFont"/>
    <w:uiPriority w:val="99"/>
    <w:semiHidden/>
    <w:unhideWhenUsed/>
    <w:rsid w:val="00B0572D"/>
    <w:rPr>
      <w:vertAlign w:val="superscript"/>
    </w:rPr>
  </w:style>
  <w:style w:type="character" w:styleId="Hyperlink">
    <w:name w:val="Hyperlink"/>
    <w:basedOn w:val="DefaultParagraphFont"/>
    <w:uiPriority w:val="99"/>
    <w:unhideWhenUsed/>
    <w:rsid w:val="00215157"/>
    <w:rPr>
      <w:strike w:val="0"/>
      <w:dstrike w:val="0"/>
      <w:color w:val="0088CC"/>
      <w:u w:val="none"/>
      <w:effect w:val="none"/>
    </w:rPr>
  </w:style>
  <w:style w:type="paragraph" w:styleId="NormalWeb">
    <w:name w:val="Normal (Web)"/>
    <w:basedOn w:val="Normal"/>
    <w:uiPriority w:val="99"/>
    <w:semiHidden/>
    <w:unhideWhenUsed/>
    <w:rsid w:val="00215157"/>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215157"/>
    <w:rPr>
      <w:i/>
      <w:iCs/>
    </w:rPr>
  </w:style>
  <w:style w:type="character" w:styleId="Strong">
    <w:name w:val="Strong"/>
    <w:basedOn w:val="DefaultParagraphFont"/>
    <w:uiPriority w:val="22"/>
    <w:qFormat/>
    <w:rsid w:val="00215157"/>
    <w:rPr>
      <w:b/>
      <w:bCs/>
    </w:rPr>
  </w:style>
  <w:style w:type="paragraph" w:styleId="ListParagraph">
    <w:name w:val="List Paragraph"/>
    <w:basedOn w:val="Normal"/>
    <w:uiPriority w:val="34"/>
    <w:qFormat/>
    <w:rsid w:val="00E70FAB"/>
    <w:pPr>
      <w:ind w:left="720"/>
      <w:contextualSpacing/>
    </w:pPr>
  </w:style>
  <w:style w:type="paragraph" w:customStyle="1" w:styleId="CM4">
    <w:name w:val="CM4"/>
    <w:basedOn w:val="Normal"/>
    <w:next w:val="Normal"/>
    <w:rsid w:val="00EA69C7"/>
    <w:pPr>
      <w:autoSpaceDE w:val="0"/>
      <w:autoSpaceDN w:val="0"/>
      <w:adjustRightInd w:val="0"/>
      <w:spacing w:after="0" w:line="240" w:lineRule="auto"/>
    </w:pPr>
    <w:rPr>
      <w:rFonts w:ascii="EUAlbertina" w:eastAsia="Times New Roman" w:hAnsi="EUAlbertina" w:cs="Times New Roman"/>
      <w:sz w:val="20"/>
      <w:szCs w:val="24"/>
      <w:lang w:val="en-US"/>
    </w:rPr>
  </w:style>
  <w:style w:type="paragraph" w:styleId="PlainText">
    <w:name w:val="Plain Text"/>
    <w:basedOn w:val="Normal"/>
    <w:link w:val="PlainTextChar"/>
    <w:uiPriority w:val="99"/>
    <w:unhideWhenUsed/>
    <w:rsid w:val="00207C0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7C0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1796">
      <w:bodyDiv w:val="1"/>
      <w:marLeft w:val="0"/>
      <w:marRight w:val="0"/>
      <w:marTop w:val="0"/>
      <w:marBottom w:val="0"/>
      <w:divBdr>
        <w:top w:val="none" w:sz="0" w:space="0" w:color="auto"/>
        <w:left w:val="none" w:sz="0" w:space="0" w:color="auto"/>
        <w:bottom w:val="none" w:sz="0" w:space="0" w:color="auto"/>
        <w:right w:val="none" w:sz="0" w:space="0" w:color="auto"/>
      </w:divBdr>
    </w:div>
    <w:div w:id="1076705789">
      <w:bodyDiv w:val="1"/>
      <w:marLeft w:val="0"/>
      <w:marRight w:val="0"/>
      <w:marTop w:val="0"/>
      <w:marBottom w:val="0"/>
      <w:divBdr>
        <w:top w:val="none" w:sz="0" w:space="0" w:color="auto"/>
        <w:left w:val="none" w:sz="0" w:space="0" w:color="auto"/>
        <w:bottom w:val="none" w:sz="0" w:space="0" w:color="auto"/>
        <w:right w:val="none" w:sz="0" w:space="0" w:color="auto"/>
      </w:divBdr>
    </w:div>
    <w:div w:id="1620603012">
      <w:bodyDiv w:val="1"/>
      <w:marLeft w:val="0"/>
      <w:marRight w:val="0"/>
      <w:marTop w:val="0"/>
      <w:marBottom w:val="0"/>
      <w:divBdr>
        <w:top w:val="none" w:sz="0" w:space="0" w:color="auto"/>
        <w:left w:val="none" w:sz="0" w:space="0" w:color="auto"/>
        <w:bottom w:val="none" w:sz="0" w:space="0" w:color="auto"/>
        <w:right w:val="none" w:sz="0" w:space="0" w:color="auto"/>
      </w:divBdr>
    </w:div>
    <w:div w:id="1995261077">
      <w:bodyDiv w:val="1"/>
      <w:marLeft w:val="0"/>
      <w:marRight w:val="0"/>
      <w:marTop w:val="0"/>
      <w:marBottom w:val="0"/>
      <w:divBdr>
        <w:top w:val="none" w:sz="0" w:space="0" w:color="auto"/>
        <w:left w:val="none" w:sz="0" w:space="0" w:color="auto"/>
        <w:bottom w:val="none" w:sz="0" w:space="0" w:color="auto"/>
        <w:right w:val="none" w:sz="0" w:space="0" w:color="auto"/>
      </w:divBdr>
    </w:div>
    <w:div w:id="20571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raldscotland.com/news/home-news/10000-object-to-wind-farms-in-five-years.199124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vestraiton.files.wordpress.com/2014/07/dersalloch-decision-letter.pdf" TargetMode="External"/><Relationship Id="rId5" Type="http://schemas.openxmlformats.org/officeDocument/2006/relationships/settings" Target="settings.xml"/><Relationship Id="rId10" Type="http://schemas.openxmlformats.org/officeDocument/2006/relationships/hyperlink" Target="http://www.bbc.co.uk/news/uk-scotland-scotland-business-28446762" TargetMode="External"/><Relationship Id="rId4" Type="http://schemas.microsoft.com/office/2007/relationships/stylesWithEffects" Target="stylesWithEffects.xml"/><Relationship Id="rId9" Type="http://schemas.openxmlformats.org/officeDocument/2006/relationships/hyperlink" Target="http://windsofjustice.org.uk/wp-content/uploads/2014/08/P-SWORDS-SLIDE-DECK-Aarhus-Convention-Wind-Energy-etc-Boston-Nov-201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1154-5C49-4A64-B861-CFC94F61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Crosthwaite</dc:creator>
  <cp:lastModifiedBy>Susan Crosthwaite</cp:lastModifiedBy>
  <cp:revision>2</cp:revision>
  <cp:lastPrinted>2014-07-24T13:03:00Z</cp:lastPrinted>
  <dcterms:created xsi:type="dcterms:W3CDTF">2014-09-02T16:55:00Z</dcterms:created>
  <dcterms:modified xsi:type="dcterms:W3CDTF">2014-09-02T16:55:00Z</dcterms:modified>
</cp:coreProperties>
</file>